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sz w:val="34"/>
        </w:rPr>
        <w:t>JOE NALLEY</w:t>
      </w:r>
    </w:p>
    <w:p>
      <w:pPr>
        <w:spacing w:before="0" w:after="160"/>
        <w:jc w:val="center"/>
      </w:pPr>
      <w:r>
        <w:rPr>
          <w:b w:val="0"/>
          <w:sz w:val="20"/>
        </w:rPr>
        <w:t>Louisville, KY  |  502-489-1771  |  joenalley25@gmail.com  |  joe-nalley.com/resume  |  linkedin.com/in/josephnalley</w:t>
      </w:r>
    </w:p>
    <w:p>
      <w:pPr>
        <w:spacing w:before="240" w:after="60"/>
      </w:pPr>
      <w:r>
        <w:rPr>
          <w:b/>
          <w:sz w:val="23"/>
        </w:rPr>
        <w:t>SUMMARY</w:t>
      </w:r>
    </w:p>
    <w:p>
      <w:pPr>
        <w:spacing w:before="0" w:after="80"/>
      </w:pPr>
      <w:r>
        <w:rPr>
          <w:b w:val="0"/>
          <w:sz w:val="21"/>
        </w:rPr>
        <w:t>Healthcare executive who has run all three sides of the table: provider operations, payer product strategy, and founder exits. Founded a behavioral health and addiction treatment system and scaled it to 13 locations, 750+ employees, and $30M+ in annual revenue across five states, then led it through acquisition and stayed on as CEO for 3.5 years post-close. Built and licensed four opioid treatment programs (DEA, SAMHSA, state). Founded and sold ClearBill, a billing-integrity platform that returned $9.2M to payers in its first six months. Most recently Staff Vice President of Specialty Risk Product Strategy at Carelon (Elevance Health), leading product across six specialty risk portfolios covering 45M+ plan members.</w:t>
      </w:r>
    </w:p>
    <w:p>
      <w:pPr>
        <w:spacing w:before="240" w:after="60"/>
      </w:pPr>
      <w:r>
        <w:rPr>
          <w:b/>
          <w:sz w:val="23"/>
        </w:rPr>
        <w:t>CORE COMPETENCIES</w:t>
      </w:r>
    </w:p>
    <w:p>
      <w:pPr>
        <w:spacing w:before="0" w:after="80"/>
      </w:pPr>
      <w:r>
        <w:rPr>
          <w:b w:val="0"/>
          <w:sz w:val="20"/>
        </w:rPr>
        <w:t>Behavioral Health Operations · SUD/OUD Treatment · Opioid Treatment Programs (OTP/NTP) · MAT/MOUD · Medicaid and Medicare Managed Care · MCO Contracting and Payer Negotiation · Value-Based Care · Risk Product Strategy · Multi-Site P&amp;L Management · DEA, SAMHSA, JCAHO Compliance · 42 CFR Part 2 and Part 8 · CCBHC, PPS, and IOP Reimbursement · M&amp;A Diligence and Integration · Product Management · Team Leadership</w:t>
      </w:r>
    </w:p>
    <w:p>
      <w:pPr>
        <w:spacing w:before="240" w:after="60"/>
      </w:pPr>
      <w:r>
        <w:rPr>
          <w:b/>
          <w:sz w:val="23"/>
        </w:rPr>
        <w:t>EXPERIENCE</w:t>
      </w:r>
    </w:p>
    <w:p>
      <w:pPr>
        <w:spacing w:before="160" w:after="20"/>
      </w:pPr>
      <w:r>
        <w:rPr>
          <w:b/>
          <w:sz w:val="22"/>
        </w:rPr>
        <w:t>Staff Vice President, Specialty Risk Product Strategy — Carelon (Elevance Health), Louisville, KY</w:t>
      </w:r>
      <w:r>
        <w:rPr>
          <w:sz w:val="21"/>
        </w:rPr>
        <w:t xml:space="preserve">   2024 – 2026</w:t>
      </w:r>
    </w:p>
    <w:p>
      <w:pPr>
        <w:pStyle w:val="ListBullet"/>
        <w:spacing w:after="40"/>
      </w:pPr>
      <w:r>
        <w:rPr>
          <w:sz w:val="21"/>
        </w:rPr>
        <w:t>Led product strategy across six integrated specialty risk portfolios (musculoskeletal, oncology, heart failure, maternity, autoimmune, dementia); 45M+ total plan members, 30M managed lives.</w:t>
      </w:r>
    </w:p>
    <w:p>
      <w:pPr>
        <w:pStyle w:val="ListBullet"/>
        <w:spacing w:after="40"/>
      </w:pPr>
      <w:r>
        <w:rPr>
          <w:sz w:val="21"/>
        </w:rPr>
        <w:t>Directed a product team of directors, analysts, and product managers; worked across Finance, Actuarial, Legal, Compliance, IT, and Provider Partnerships.</w:t>
      </w:r>
    </w:p>
    <w:p>
      <w:pPr>
        <w:pStyle w:val="ListBullet"/>
        <w:spacing w:after="40"/>
      </w:pPr>
      <w:r>
        <w:rPr>
          <w:sz w:val="21"/>
        </w:rPr>
        <w:t>Authored Risk Playbook 2.0 — the RACI, commercialization process, and phase-gate framework adopted as the subsidiary's operating standard for bringing risk products to market. Sole author, built from 50+ internal interviews.</w:t>
      </w:r>
    </w:p>
    <w:p>
      <w:pPr>
        <w:pStyle w:val="ListBullet"/>
        <w:spacing w:after="40"/>
      </w:pPr>
      <w:r>
        <w:rPr>
          <w:sz w:val="21"/>
        </w:rPr>
        <w:t>Drove the MSK risk-expansion business case (three-year operating-gain model) and identified the operating-model gaps blocking two additional programs; both moved into remediation.</w:t>
      </w:r>
    </w:p>
    <w:p>
      <w:pPr>
        <w:pStyle w:val="ListBullet"/>
        <w:spacing w:after="40"/>
      </w:pPr>
      <w:r>
        <w:rPr>
          <w:sz w:val="21"/>
        </w:rPr>
        <w:t>Role eliminated in a September 2026 enterprise restructuring.</w:t>
      </w:r>
    </w:p>
    <w:p>
      <w:pPr>
        <w:spacing w:before="160" w:after="20"/>
      </w:pPr>
      <w:r>
        <w:rPr>
          <w:b/>
          <w:sz w:val="22"/>
        </w:rPr>
        <w:t>Founder — Corridor — independent product studio, Louisville, KY</w:t>
      </w:r>
      <w:r>
        <w:rPr>
          <w:sz w:val="21"/>
        </w:rPr>
        <w:t xml:space="preserve">   2025 – 2026</w:t>
      </w:r>
    </w:p>
    <w:p>
      <w:pPr>
        <w:pStyle w:val="ListBullet"/>
        <w:spacing w:after="40"/>
      </w:pPr>
      <w:r>
        <w:rPr>
          <w:sz w:val="21"/>
        </w:rPr>
        <w:t>Built governance products for post-authorization care as sole contributor: specialty pharmacy continuation (Cadence), pre-payment claim verification (Caliber), behavioral health episode routing (Curated).</w:t>
      </w:r>
    </w:p>
    <w:p>
      <w:pPr>
        <w:pStyle w:val="ListBullet"/>
        <w:spacing w:after="40"/>
      </w:pPr>
      <w:r>
        <w:rPr>
          <w:sz w:val="21"/>
        </w:rPr>
        <w:t>Authored the Cadence Governance Standard (CGS v1.1), an open clinical framework for continuation-therapy reassessment; validated on three locked cohorts totaling 65,234 patients, anchored by a 30,734-patient NIH All of Us study; modeled first-cycle savings of $14.3M.</w:t>
      </w:r>
    </w:p>
    <w:p>
      <w:pPr>
        <w:pStyle w:val="ListBullet"/>
        <w:spacing w:after="40"/>
      </w:pPr>
      <w:r>
        <w:rPr>
          <w:sz w:val="21"/>
        </w:rPr>
        <w:t>Published in Pharmacy Times (April 2026); manuscripts submitted to Health Affairs and AJMC.</w:t>
      </w:r>
    </w:p>
    <w:p>
      <w:pPr>
        <w:spacing w:before="160" w:after="20"/>
      </w:pPr>
      <w:r>
        <w:rPr>
          <w:b/>
          <w:sz w:val="22"/>
        </w:rPr>
        <w:t>Founder &amp; CEO — ClearBill (acquired), Remote</w:t>
      </w:r>
      <w:r>
        <w:rPr>
          <w:sz w:val="21"/>
        </w:rPr>
        <w:t xml:space="preserve">   2023 – 2025</w:t>
      </w:r>
    </w:p>
    <w:p>
      <w:pPr>
        <w:pStyle w:val="ListBullet"/>
        <w:spacing w:after="40"/>
      </w:pPr>
      <w:r>
        <w:rPr>
          <w:sz w:val="21"/>
        </w:rPr>
        <w:t>Built a real-time billing-integrity platform that audits claims before they reach the payer; AI screening with a human QA layer.</w:t>
      </w:r>
    </w:p>
    <w:p>
      <w:pPr>
        <w:pStyle w:val="ListBullet"/>
        <w:spacing w:after="40"/>
      </w:pPr>
      <w:r>
        <w:rPr>
          <w:sz w:val="21"/>
        </w:rPr>
        <w:t>Returned $9.2M to payers in the first six months of full deployment; payer PEPM revenue model. Acquired by a Fortune 50; stayed on as CEO through integration.</w:t>
      </w:r>
    </w:p>
    <w:p>
      <w:pPr>
        <w:spacing w:before="160" w:after="20"/>
      </w:pPr>
      <w:r>
        <w:rPr>
          <w:b/>
          <w:sz w:val="22"/>
        </w:rPr>
        <w:t>Founder &amp; CEO — GetWell Health System / North Clark / Kentucky Recovery / KMHC, five states</w:t>
      </w:r>
      <w:r>
        <w:rPr>
          <w:sz w:val="21"/>
        </w:rPr>
        <w:t xml:space="preserve">   2012 – 2025</w:t>
      </w:r>
    </w:p>
    <w:p>
      <w:pPr>
        <w:pStyle w:val="ListBullet"/>
        <w:spacing w:after="40"/>
      </w:pPr>
      <w:r>
        <w:rPr>
          <w:sz w:val="21"/>
        </w:rPr>
        <w:t>Founded Kentucky Mental Health Care (2012) and scaled it to a 13-location integrated health system with 750+ employees and $30M+ in annual revenue at time of sale.</w:t>
      </w:r>
    </w:p>
    <w:p>
      <w:pPr>
        <w:pStyle w:val="ListBullet"/>
        <w:spacing w:after="40"/>
      </w:pPr>
      <w:r>
        <w:rPr>
          <w:sz w:val="21"/>
        </w:rPr>
        <w:t>Built and licensed four opioid treatment programs end to end — DEA, SAMHSA, and state licensure each time — including a contested community siting in La Grange, KY that the program won. Kentucky Recovery served 15,000+ patients per year statewide.</w:t>
      </w:r>
    </w:p>
    <w:p>
      <w:pPr>
        <w:pStyle w:val="ListBullet"/>
        <w:spacing w:after="40"/>
      </w:pPr>
      <w:r>
        <w:rPr>
          <w:sz w:val="21"/>
        </w:rPr>
        <w:t>Negotiated and held MCO contracts across Medicaid, commercial, and Medicare lines; lobbied Kentucky Medicaid to carve the IOP code out of the NTP bundle so it paid on top of the bundled rate.</w:t>
      </w:r>
    </w:p>
    <w:p>
      <w:pPr>
        <w:pStyle w:val="ListBullet"/>
        <w:spacing w:after="40"/>
      </w:pPr>
      <w:r>
        <w:rPr>
          <w:sz w:val="21"/>
        </w:rPr>
        <w:t>Established North Clark Community Hospital and Medical Group (2021): a new regional hospital with primary care, imaging, surgery, cardiology, neurology, and a full diagnostic lab.</w:t>
      </w:r>
    </w:p>
    <w:p>
      <w:pPr>
        <w:pStyle w:val="ListBullet"/>
        <w:spacing w:after="40"/>
      </w:pPr>
      <w:r>
        <w:rPr>
          <w:sz w:val="21"/>
        </w:rPr>
        <w:t>Led the full system through acquisition (terms confidential); stayed on as CEO for 3.5 years post-close covering diligence, transition, and integration. 200,000+ patients served across entities at time of sale.</w:t>
      </w:r>
    </w:p>
    <w:p>
      <w:pPr>
        <w:spacing w:before="160" w:after="20"/>
      </w:pPr>
      <w:r>
        <w:rPr>
          <w:b/>
          <w:sz w:val="22"/>
        </w:rPr>
        <w:t>Founder — Jing Masters (sold), Louisville, KY</w:t>
      </w:r>
      <w:r>
        <w:rPr>
          <w:sz w:val="21"/>
        </w:rPr>
        <w:t xml:space="preserve">   2007 – 2012</w:t>
      </w:r>
    </w:p>
    <w:p>
      <w:pPr>
        <w:pStyle w:val="ListBullet"/>
        <w:spacing w:after="40"/>
      </w:pPr>
      <w:r>
        <w:rPr>
          <w:sz w:val="21"/>
        </w:rPr>
        <w:t>First company: traditional Chinese herbal medicine, two retail locations plus the e-commerce storefront that produced most of revenue. Sold in 2012.</w:t>
      </w:r>
    </w:p>
    <w:p>
      <w:pPr>
        <w:spacing w:before="240" w:after="60"/>
      </w:pPr>
      <w:r>
        <w:rPr>
          <w:b/>
          <w:sz w:val="23"/>
        </w:rPr>
        <w:t>EDUCATION</w:t>
      </w:r>
    </w:p>
    <w:p>
      <w:pPr>
        <w:spacing w:before="0" w:after="40"/>
      </w:pPr>
      <w:r>
        <w:rPr>
          <w:b w:val="0"/>
          <w:sz w:val="21"/>
        </w:rPr>
        <w:t>M.S., Applied Behavior Analysis — Northeastern University</w:t>
      </w:r>
    </w:p>
    <w:p>
      <w:pPr>
        <w:spacing w:before="0" w:after="40"/>
      </w:pPr>
      <w:r>
        <w:rPr>
          <w:b w:val="0"/>
          <w:sz w:val="21"/>
        </w:rPr>
        <w:t>B.S., Organizational Leadership and Development — University of Louisville</w:t>
      </w:r>
    </w:p>
    <w:p>
      <w:pPr>
        <w:spacing w:before="240" w:after="60"/>
      </w:pPr>
      <w:r>
        <w:rPr>
          <w:b/>
          <w:sz w:val="23"/>
        </w:rPr>
        <w:t>CREDENTIALS</w:t>
      </w:r>
    </w:p>
    <w:p>
      <w:pPr>
        <w:spacing w:before="0" w:after="80"/>
      </w:pPr>
      <w:r>
        <w:rPr>
          <w:b w:val="0"/>
          <w:sz w:val="20"/>
        </w:rPr>
        <w:t>DEA-licensed (narcotic treatment programs) · SAMHSA-certified (opioid treatment programs) · JCAHO-accredited operations (hospital and behavioral health) · Multi-state clinical licensure (five states) · Payer contracts held directly: every Medicaid MCO across five states, commercial, Medicare, and self-funded</w:t>
      </w:r>
    </w:p>
    <w:p>
      <w:pPr>
        <w:spacing w:before="240" w:after="60"/>
      </w:pPr>
      <w:r>
        <w:rPr>
          <w:b/>
          <w:sz w:val="23"/>
        </w:rPr>
        <w:t>PUBLICATIONS</w:t>
      </w:r>
    </w:p>
    <w:p>
      <w:pPr>
        <w:spacing w:before="0" w:after="40"/>
      </w:pPr>
      <w:r>
        <w:rPr>
          <w:b w:val="0"/>
          <w:sz w:val="21"/>
        </w:rPr>
        <w:t>“The Missing Measure: Continuation Appropriateness in Managed Care” — Pharmacy Times, April 2026</w:t>
      </w:r>
    </w:p>
    <w:p>
      <w:pPr>
        <w:spacing w:before="0" w:after="40"/>
      </w:pPr>
      <w:r>
        <w:rPr>
          <w:b w:val="0"/>
          <w:sz w:val="21"/>
        </w:rPr>
        <w:t>NIH All of Us DURA study — 30,734 patients, federal validation complete; manuscripts under review at Health Affairs and AJMC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